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к физическому развитию детей 2-7 лет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заведующих ДОУ, методистов, старших воспитателей детских садов.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к физическому развитию детей 2-7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управления коллективом дошкольного образовательного учреждения и организации методической работы в нем.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старших воспитателей, методистов ДОУ о современных подходах к осуществлению физического развития дошкольников 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проводить мониторинг физического развития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об особенностях развития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по темам и видам работ.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Физическое развитие детей в младшей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методические рекомендации по организации физкультурно-оздоровительной работы в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младшей группы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младшего дошкольного возраста и мониторинг результатов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Физическое развитие детей в средней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средней группы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среднего дошкольного возраста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средней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Физическое развитие детей в старшей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старшей группы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старшего дошкольного возраста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старшей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Физическое развитие детей в подготовительной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подготовительной группы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в старшей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старшей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8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2">
    <w:abstractNumId w:val="12"/>
  </w:num>
  <w:num w:numId="64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styles.xml" Id="docRId4" Type="http://schemas.openxmlformats.org/officeDocument/2006/relationships/styles"/></Relationships>
</file>